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2863" w:rsidRDefault="000B2863" w:rsidP="005638FC">
      <w:pPr>
        <w:spacing w:after="0"/>
      </w:pPr>
    </w:p>
    <w:p w:rsidR="000B2863" w:rsidRDefault="000B2863" w:rsidP="005638FC">
      <w:pPr>
        <w:spacing w:after="0"/>
      </w:pPr>
    </w:p>
    <w:p w:rsidR="000B2863" w:rsidRDefault="000B2863" w:rsidP="005638FC">
      <w:pPr>
        <w:spacing w:after="0"/>
      </w:pPr>
    </w:p>
    <w:p w:rsidR="000B2863" w:rsidRDefault="000B2863" w:rsidP="005638FC">
      <w:pPr>
        <w:spacing w:after="0"/>
      </w:pPr>
    </w:p>
    <w:p w:rsidR="000B2863" w:rsidRDefault="000B2863" w:rsidP="005638FC">
      <w:pPr>
        <w:spacing w:after="0"/>
      </w:pPr>
    </w:p>
    <w:p w:rsidR="005638FC" w:rsidRDefault="005638FC" w:rsidP="005638FC">
      <w:pPr>
        <w:spacing w:after="0"/>
      </w:pPr>
    </w:p>
    <w:p w:rsidR="005638FC" w:rsidRDefault="005638FC" w:rsidP="005638FC">
      <w:pPr>
        <w:spacing w:after="0"/>
      </w:pPr>
    </w:p>
    <w:p w:rsidR="005638FC" w:rsidRDefault="005638FC" w:rsidP="005638FC">
      <w:pPr>
        <w:spacing w:after="0"/>
      </w:pPr>
    </w:p>
    <w:p w:rsidR="000B2863" w:rsidRDefault="000B2863" w:rsidP="005638FC">
      <w:pPr>
        <w:spacing w:after="0"/>
      </w:pPr>
    </w:p>
    <w:p w:rsidR="000B2863" w:rsidRDefault="000B2863" w:rsidP="005638FC">
      <w:pPr>
        <w:spacing w:after="0"/>
      </w:pPr>
    </w:p>
    <w:p w:rsidR="000B2863" w:rsidRDefault="000B2863" w:rsidP="005638FC">
      <w:pPr>
        <w:spacing w:after="0"/>
        <w:jc w:val="center"/>
      </w:pPr>
      <w:r>
        <w:t>Marketing Concepts and Goals</w:t>
      </w:r>
    </w:p>
    <w:p w:rsidR="000B2863" w:rsidRDefault="000B2863" w:rsidP="005638FC">
      <w:pPr>
        <w:spacing w:after="0"/>
        <w:jc w:val="center"/>
      </w:pPr>
      <w:r>
        <w:t>Name of Student</w:t>
      </w:r>
    </w:p>
    <w:p w:rsidR="000B2863" w:rsidRDefault="000B2863" w:rsidP="005638FC">
      <w:pPr>
        <w:spacing w:after="0"/>
        <w:jc w:val="center"/>
      </w:pPr>
      <w:r>
        <w:t>Name of Institution</w:t>
      </w:r>
    </w:p>
    <w:p w:rsidR="00490146" w:rsidRDefault="000B2863" w:rsidP="005638FC">
      <w:pPr>
        <w:spacing w:after="0"/>
        <w:jc w:val="center"/>
      </w:pPr>
      <w:r>
        <w:t>Date</w:t>
      </w:r>
      <w:r w:rsidR="00490146">
        <w:br w:type="page"/>
      </w:r>
      <w:bookmarkStart w:id="0" w:name="_GoBack"/>
      <w:bookmarkEnd w:id="0"/>
    </w:p>
    <w:p w:rsidR="00214C59" w:rsidRPr="008300AE" w:rsidRDefault="00AA715F" w:rsidP="005638FC">
      <w:pPr>
        <w:pStyle w:val="ListParagraph"/>
        <w:numPr>
          <w:ilvl w:val="0"/>
          <w:numId w:val="1"/>
        </w:numPr>
        <w:spacing w:after="0"/>
        <w:jc w:val="both"/>
        <w:rPr>
          <w:b/>
        </w:rPr>
      </w:pPr>
      <w:r w:rsidRPr="008300AE">
        <w:rPr>
          <w:b/>
        </w:rPr>
        <w:lastRenderedPageBreak/>
        <w:t xml:space="preserve">Conduct a SWOT analysis for Almarai based on the information given. </w:t>
      </w:r>
    </w:p>
    <w:p w:rsidR="00AA715F" w:rsidRDefault="00AA715F" w:rsidP="005638FC">
      <w:pPr>
        <w:spacing w:after="0"/>
        <w:ind w:firstLine="720"/>
        <w:jc w:val="both"/>
      </w:pPr>
      <w:r>
        <w:t xml:space="preserve">Since the inception of Almarai, the enterprise has demonstrated a knack for capitalizing on opportunities while maintaining their strengths. The founder, HH Prince Sultan Bin Mohammed Bin Saudi AL-Kabeer, saw an opportunity in dairy farming in Saudi Arabia. The Prince evaluated the needs </w:t>
      </w:r>
      <w:r w:rsidR="007747D1">
        <w:t>of</w:t>
      </w:r>
      <w:r>
        <w:t xml:space="preserve"> the domestic market and noted that the </w:t>
      </w:r>
      <w:r w:rsidR="007747D1">
        <w:t xml:space="preserve">demands </w:t>
      </w:r>
      <w:r>
        <w:t>were growing. He sought to transform traditional farming to match the opportunity he recognized. The capitalization of these opportunities saw the development of numerous agricultural projects. He began by the pr</w:t>
      </w:r>
      <w:r w:rsidR="007747D1">
        <w:t>ocessing of milk and laban in</w:t>
      </w:r>
      <w:r>
        <w:t xml:space="preserve"> modern dairy farms. Almarai also capitalized on advanced technology in their production facilities. </w:t>
      </w:r>
      <w:r w:rsidR="003764BA">
        <w:t xml:space="preserve">Almarai noted a weakness in their staffing. They addressed this by ensuring </w:t>
      </w:r>
      <w:r w:rsidR="007747D1">
        <w:t xml:space="preserve">the </w:t>
      </w:r>
      <w:r w:rsidR="003764BA">
        <w:t xml:space="preserve">recruitment of the right people to match their jobs. </w:t>
      </w:r>
      <w:r>
        <w:t>This</w:t>
      </w:r>
      <w:r w:rsidR="007747D1">
        <w:t xml:space="preserve"> recruitment</w:t>
      </w:r>
      <w:r>
        <w:t xml:space="preserve"> contributed to the assessment of the enterprise as the second la</w:t>
      </w:r>
      <w:r w:rsidR="003764BA">
        <w:t>rgest central processing plant.</w:t>
      </w:r>
    </w:p>
    <w:p w:rsidR="003764BA" w:rsidRDefault="003764BA" w:rsidP="005638FC">
      <w:pPr>
        <w:spacing w:after="0"/>
        <w:ind w:firstLine="720"/>
        <w:jc w:val="both"/>
      </w:pPr>
      <w:r>
        <w:t xml:space="preserve">Almarai also assessed the opportunities brought about by bakery products. They capitalized on this opportunity by </w:t>
      </w:r>
      <w:r w:rsidR="00122E51">
        <w:t xml:space="preserve">acquisition of </w:t>
      </w:r>
      <w:r>
        <w:t xml:space="preserve">Jeddah-based Western Bakeries in 2007. The acquisition of the bakery served to eliminate the threat brought about by competition. Almarai assessed the need for another bakery opportunity in another location. They capitalized on this opportunity by </w:t>
      </w:r>
      <w:r w:rsidR="007747D1">
        <w:t xml:space="preserve">the </w:t>
      </w:r>
      <w:r w:rsidR="009E4F20">
        <w:t xml:space="preserve">erection of an original </w:t>
      </w:r>
      <w:r>
        <w:t xml:space="preserve">bakery facility in </w:t>
      </w:r>
      <w:r w:rsidR="006267C2">
        <w:t>Al-Kharj</w:t>
      </w:r>
      <w:r>
        <w:t>. The enterprise established a joint venture with Chipita and Olayan Finance Company under the umbrella of Modern Company Industry. This merger aimed at launching the 7DAYS brand.</w:t>
      </w:r>
      <w:r w:rsidR="006E0948">
        <w:t xml:space="preserve"> Almarai ventured into poultry farming through </w:t>
      </w:r>
      <w:r w:rsidR="006267C2">
        <w:t xml:space="preserve">the </w:t>
      </w:r>
      <w:r w:rsidR="006E0948">
        <w:t>acquisition of Hail Agricultural Development Company in 2009. The</w:t>
      </w:r>
      <w:r w:rsidR="006267C2">
        <w:t xml:space="preserve"> excellence demonstrated </w:t>
      </w:r>
      <w:r w:rsidR="006E0948">
        <w:t xml:space="preserve">led to </w:t>
      </w:r>
      <w:r w:rsidR="006267C2">
        <w:t xml:space="preserve">the </w:t>
      </w:r>
      <w:r w:rsidR="006E0948">
        <w:t xml:space="preserve">launching of a new poultry brand termed Alyoum. </w:t>
      </w:r>
      <w:r w:rsidR="00291CAA">
        <w:t xml:space="preserve">In </w:t>
      </w:r>
      <w:r w:rsidR="009E4F20">
        <w:t xml:space="preserve">the next </w:t>
      </w:r>
      <w:r w:rsidR="005638FC">
        <w:t>year, the</w:t>
      </w:r>
      <w:r w:rsidR="00291CAA">
        <w:t xml:space="preserve"> enterprise ventured into infant nutrition market in Al-Kharj by </w:t>
      </w:r>
      <w:r w:rsidR="006267C2">
        <w:t xml:space="preserve">the </w:t>
      </w:r>
      <w:r w:rsidR="00291CAA">
        <w:t xml:space="preserve">construction of a new plant. This infant nutrition was the first in the region. They addressed the weakness of staffing by </w:t>
      </w:r>
      <w:r w:rsidR="006267C2">
        <w:t xml:space="preserve">the </w:t>
      </w:r>
      <w:r w:rsidR="00291CAA">
        <w:t xml:space="preserve">inclusion of acknowledged experts. They accomplished this by partnering in a 50-50 joint venture with Mead </w:t>
      </w:r>
      <w:r w:rsidR="00291CAA">
        <w:lastRenderedPageBreak/>
        <w:t xml:space="preserve">Johnson Nutrition. The joint venture is known as the International Pediatric Nutrition Company. Almarai recently acquired the entire project and rebranded it into Nura. </w:t>
      </w:r>
    </w:p>
    <w:p w:rsidR="00291CAA" w:rsidRPr="008300AE" w:rsidRDefault="00291CAA" w:rsidP="005638FC">
      <w:pPr>
        <w:pStyle w:val="ListParagraph"/>
        <w:numPr>
          <w:ilvl w:val="0"/>
          <w:numId w:val="1"/>
        </w:numPr>
        <w:spacing w:after="0"/>
        <w:jc w:val="both"/>
        <w:rPr>
          <w:b/>
        </w:rPr>
      </w:pPr>
      <w:r w:rsidRPr="008300AE">
        <w:rPr>
          <w:b/>
        </w:rPr>
        <w:t>Examine the 4P’s based on the information given.</w:t>
      </w:r>
    </w:p>
    <w:p w:rsidR="00490146" w:rsidRDefault="00291CAA" w:rsidP="005638FC">
      <w:pPr>
        <w:spacing w:after="0"/>
        <w:ind w:firstLine="720"/>
        <w:jc w:val="both"/>
      </w:pPr>
      <w:r>
        <w:t>The 4 P’s of marketing describe the product, price, place</w:t>
      </w:r>
      <w:r w:rsidR="006267C2">
        <w:t>,</w:t>
      </w:r>
      <w:r>
        <w:t xml:space="preserve"> and promotion</w:t>
      </w:r>
      <w:r w:rsidR="009E4F20">
        <w:t xml:space="preserve"> </w:t>
      </w:r>
      <w:sdt>
        <w:sdtPr>
          <w:id w:val="1545798726"/>
          <w:citation/>
        </w:sdtPr>
        <w:sdtEndPr/>
        <w:sdtContent>
          <w:r w:rsidR="009E4F20">
            <w:fldChar w:fldCharType="begin"/>
          </w:r>
          <w:r w:rsidR="009E4F20">
            <w:instrText xml:space="preserve"> CITATION Dob14 \l 1033 </w:instrText>
          </w:r>
          <w:r w:rsidR="009E4F20">
            <w:fldChar w:fldCharType="separate"/>
          </w:r>
          <w:r w:rsidR="009E4F20">
            <w:rPr>
              <w:noProof/>
            </w:rPr>
            <w:t>(Dobbs, 2014)</w:t>
          </w:r>
          <w:r w:rsidR="009E4F20">
            <w:fldChar w:fldCharType="end"/>
          </w:r>
        </w:sdtContent>
      </w:sdt>
      <w:r>
        <w:t>. Almarai takes note of its consumers</w:t>
      </w:r>
      <w:r w:rsidR="00E171F9">
        <w:t>’</w:t>
      </w:r>
      <w:r>
        <w:t xml:space="preserve"> </w:t>
      </w:r>
      <w:r w:rsidR="00E171F9">
        <w:t>health by using the best fruit in their juice manufacturing according to the preferences of their consumers. Their lines of snacks employ simplicity to provide a relishing taste. Almarai manufactures their yoghurts and desserts from 100% natural fresh cow milk. Their cheeses are recorded to be the best taste compared to their competitors. They also favor the mother’s kitchen work by making the richest cream. Almarai offers a wide range of delicious dairy products</w:t>
      </w:r>
      <w:r w:rsidR="002F338F">
        <w:t>. Their products also prove to be fun an</w:t>
      </w:r>
      <w:r w:rsidR="006267C2">
        <w:t>d healthy for kids. The content has</w:t>
      </w:r>
      <w:r w:rsidR="002F338F">
        <w:t xml:space="preserve"> not provided any data relative to analyzing their pricing market strategy. </w:t>
      </w:r>
      <w:r w:rsidR="00490146">
        <w:t xml:space="preserve">There is also no relevant information portraying Almarai’s promotional techniques. </w:t>
      </w:r>
    </w:p>
    <w:p w:rsidR="002F338F" w:rsidRDefault="002F338F" w:rsidP="005638FC">
      <w:pPr>
        <w:spacing w:after="0"/>
        <w:ind w:firstLine="720"/>
        <w:jc w:val="both"/>
      </w:pPr>
      <w:r>
        <w:t xml:space="preserve">Almarai’s </w:t>
      </w:r>
      <w:r w:rsidR="006267C2">
        <w:t xml:space="preserve">adheres to </w:t>
      </w:r>
      <w:r>
        <w:t xml:space="preserve">products packaging and refrigeration requirements by ensuring the proper temperatures. The temperatures adopted </w:t>
      </w:r>
      <w:r w:rsidR="006267C2">
        <w:t xml:space="preserve">to </w:t>
      </w:r>
      <w:r>
        <w:t xml:space="preserve">maintain the fresh nature of the product and quality. The means of transportation adopted are required to have met the refrigeration capabilities </w:t>
      </w:r>
      <w:r w:rsidR="006267C2">
        <w:t xml:space="preserve">needed </w:t>
      </w:r>
      <w:r>
        <w:t xml:space="preserve">at the firm. </w:t>
      </w:r>
      <w:r w:rsidR="006267C2">
        <w:t>They achieve this</w:t>
      </w:r>
      <w:r>
        <w:t xml:space="preserve"> by </w:t>
      </w:r>
      <w:r w:rsidR="006267C2">
        <w:t xml:space="preserve">the </w:t>
      </w:r>
      <w:r>
        <w:t xml:space="preserve">employment of refrigeration capabilities within the </w:t>
      </w:r>
      <w:r w:rsidR="00214C59">
        <w:t>transports such that the products are not spoiled in case of delays in delivery. The packaging system employed by Almarai makes it distinguishable from other brands. Almarai transport</w:t>
      </w:r>
      <w:r w:rsidR="006267C2">
        <w:t>s</w:t>
      </w:r>
      <w:r w:rsidR="00214C59">
        <w:t xml:space="preserve"> their raw milk to the Central Processing Plants through long-haul fleets, which are later </w:t>
      </w:r>
      <w:r w:rsidR="006267C2">
        <w:t xml:space="preserve">used to carry </w:t>
      </w:r>
      <w:r w:rsidR="00214C59">
        <w:t xml:space="preserve">finished goods post production to assigned sales locations all over. </w:t>
      </w:r>
      <w:r w:rsidR="00630790">
        <w:t>They transport their finished products to grocery stores and supermarkets. Their delivery protocols and their specially designed delivery trucks ensure that their products do not spoil over time and they last longer. A single visit for a single supermarket fulfil</w:t>
      </w:r>
      <w:r w:rsidR="006267C2">
        <w:t>l</w:t>
      </w:r>
      <w:r w:rsidR="00630790">
        <w:t xml:space="preserve">s the incomes and demands of Almarai. </w:t>
      </w:r>
    </w:p>
    <w:p w:rsidR="00490146" w:rsidRPr="008300AE" w:rsidRDefault="00490146" w:rsidP="005638FC">
      <w:pPr>
        <w:pStyle w:val="ListParagraph"/>
        <w:numPr>
          <w:ilvl w:val="0"/>
          <w:numId w:val="1"/>
        </w:numPr>
        <w:spacing w:after="0"/>
        <w:jc w:val="both"/>
        <w:rPr>
          <w:b/>
        </w:rPr>
      </w:pPr>
      <w:r w:rsidRPr="008300AE">
        <w:rPr>
          <w:b/>
        </w:rPr>
        <w:lastRenderedPageBreak/>
        <w:t xml:space="preserve">Use the Porter’s five forces model to critically analyze the competitive structure of the organization. </w:t>
      </w:r>
    </w:p>
    <w:p w:rsidR="00490146" w:rsidRDefault="00490146" w:rsidP="005638FC">
      <w:pPr>
        <w:spacing w:after="0"/>
        <w:ind w:firstLine="720"/>
        <w:jc w:val="both"/>
      </w:pPr>
      <w:r>
        <w:t xml:space="preserve">Porter’s five forces are used in the analysis of what or who holds the most power in any given situation. Porter’s forces are supplier power, buyer power, competitive rivalry, </w:t>
      </w:r>
      <w:r w:rsidR="006267C2">
        <w:t xml:space="preserve">the </w:t>
      </w:r>
      <w:r>
        <w:t>threat of new entry, and the threat of substitution</w:t>
      </w:r>
      <w:r w:rsidR="009E4F20">
        <w:t xml:space="preserve"> </w:t>
      </w:r>
      <w:sdt>
        <w:sdtPr>
          <w:id w:val="1581483700"/>
          <w:citation/>
        </w:sdtPr>
        <w:sdtEndPr/>
        <w:sdtContent>
          <w:r w:rsidR="009E4F20">
            <w:fldChar w:fldCharType="begin"/>
          </w:r>
          <w:r w:rsidR="009E4F20">
            <w:instrText xml:space="preserve"> CITATION EDo14 \l 1033 </w:instrText>
          </w:r>
          <w:r w:rsidR="009E4F20">
            <w:fldChar w:fldCharType="separate"/>
          </w:r>
          <w:r w:rsidR="009E4F20">
            <w:rPr>
              <w:noProof/>
            </w:rPr>
            <w:t>(E. Dobbs, 2014)</w:t>
          </w:r>
          <w:r w:rsidR="009E4F20">
            <w:fldChar w:fldCharType="end"/>
          </w:r>
        </w:sdtContent>
      </w:sdt>
      <w:r>
        <w:t>. Almarai eliminates the need for supplier since they source their raw materials for the processing requirements. This step negates the effect that arises from suppliers who tend</w:t>
      </w:r>
      <w:r w:rsidR="006267C2">
        <w:t xml:space="preserve"> to </w:t>
      </w:r>
      <w:r>
        <w:t xml:space="preserve">drive business prices by raising or lowering </w:t>
      </w:r>
      <w:r w:rsidR="006267C2">
        <w:t>cost</w:t>
      </w:r>
      <w:r>
        <w:t xml:space="preserve">s as they deem. Almarai’s products are carefully tailored to cater for the client’s preferences. They also </w:t>
      </w:r>
      <w:r w:rsidR="00A2245F">
        <w:t>institute</w:t>
      </w:r>
      <w:r>
        <w:t xml:space="preserve"> the value of care for the client’s health by ensuring the products processing and raw materials are beneficial to the health of the consumer. </w:t>
      </w:r>
      <w:r w:rsidR="00A2245F">
        <w:t xml:space="preserve">Their products are processed to cater </w:t>
      </w:r>
      <w:r w:rsidR="00122E51">
        <w:t xml:space="preserve">to </w:t>
      </w:r>
      <w:r w:rsidR="00A2245F">
        <w:t>the community</w:t>
      </w:r>
      <w:r w:rsidR="00122E51">
        <w:t>, thu</w:t>
      </w:r>
      <w:r>
        <w:t>s creates</w:t>
      </w:r>
      <w:r w:rsidR="00A2245F">
        <w:t xml:space="preserve"> the notion of loyalty and so the clients tend not to exert their power to drop prices. Almarai’s policy of competition is to either merge or buy the company. Acquisition of companies improves and enhances the company’s brand by eliminating </w:t>
      </w:r>
      <w:r w:rsidR="00122E51">
        <w:t xml:space="preserve">its </w:t>
      </w:r>
      <w:r w:rsidR="00A2245F">
        <w:t xml:space="preserve">competitors. Mergers serve to create loyalty between competitors to promote both their brands as a single product. These options improve on fealty which eradicates rivalry brought about by competition. The </w:t>
      </w:r>
      <w:r w:rsidR="00122E51">
        <w:t xml:space="preserve">adoption of the </w:t>
      </w:r>
      <w:r w:rsidR="00A2245F">
        <w:t xml:space="preserve">information provided does not indicate any product that may </w:t>
      </w:r>
      <w:r w:rsidR="00122E51">
        <w:t xml:space="preserve">result </w:t>
      </w:r>
      <w:r w:rsidR="00A2245F">
        <w:t xml:space="preserve">in an attempt to replace or substitute Almarai’s products. However, the diverse range of products </w:t>
      </w:r>
      <w:r w:rsidR="00122E51">
        <w:t xml:space="preserve">offered </w:t>
      </w:r>
      <w:r w:rsidR="00A2245F">
        <w:t>by the enterprise cannot all be substituted</w:t>
      </w:r>
      <w:r w:rsidR="00122E51">
        <w:t xml:space="preserve">, </w:t>
      </w:r>
      <w:r w:rsidR="00A2245F">
        <w:t xml:space="preserve">deduced from the loyalty instilled by Almarai and the preference selection of products by the enterprise. Any new entry into the fields currently exploited by Almarai does not pose a significant threat. Almarai have earned </w:t>
      </w:r>
      <w:r w:rsidR="00122E51">
        <w:t xml:space="preserve">its </w:t>
      </w:r>
      <w:r w:rsidR="00A2245F">
        <w:t>client’s loyalties</w:t>
      </w:r>
      <w:r w:rsidR="00122E51">
        <w:t>,</w:t>
      </w:r>
      <w:r w:rsidR="00A2245F">
        <w:t xml:space="preserve"> and their productions are multiple</w:t>
      </w:r>
      <w:r w:rsidR="008300AE">
        <w:t xml:space="preserve">. Almarai </w:t>
      </w:r>
      <w:r w:rsidR="00122E51">
        <w:t xml:space="preserve">is </w:t>
      </w:r>
      <w:r w:rsidR="008300AE">
        <w:t>also cap</w:t>
      </w:r>
      <w:r w:rsidR="00122E51">
        <w:t xml:space="preserve">able of buying </w:t>
      </w:r>
      <w:r w:rsidR="008300AE">
        <w:t xml:space="preserve">any new threats that emerge with the intent of promoting their brand. </w:t>
      </w:r>
    </w:p>
    <w:p w:rsidR="008300AE" w:rsidRPr="008300AE" w:rsidRDefault="008300AE" w:rsidP="005638FC">
      <w:pPr>
        <w:pStyle w:val="ListParagraph"/>
        <w:numPr>
          <w:ilvl w:val="0"/>
          <w:numId w:val="1"/>
        </w:numPr>
        <w:spacing w:after="0"/>
        <w:jc w:val="both"/>
        <w:rPr>
          <w:b/>
        </w:rPr>
      </w:pPr>
      <w:r w:rsidRPr="008300AE">
        <w:rPr>
          <w:b/>
        </w:rPr>
        <w:t>Critically evaluate the product portfolio of Almarai with the help of BCG Matrix.</w:t>
      </w:r>
    </w:p>
    <w:p w:rsidR="00942A34" w:rsidRDefault="00942A34" w:rsidP="005638FC">
      <w:pPr>
        <w:spacing w:after="0"/>
        <w:ind w:firstLine="720"/>
        <w:jc w:val="both"/>
      </w:pPr>
      <w:r>
        <w:lastRenderedPageBreak/>
        <w:t>The BCG matrix is termed as the growth/share matrix. It aids a business to consider its growth opportunities by reviewing the portfolio of its products. This review is critical in deciding locations to invest and discontinue, and what products to develop. The matrix adopts four quadrants; dogs illustrate products with low growth and low market shares</w:t>
      </w:r>
      <w:r w:rsidR="009E4F20">
        <w:t xml:space="preserve"> </w:t>
      </w:r>
      <w:sdt>
        <w:sdtPr>
          <w:id w:val="-1233854602"/>
          <w:citation/>
        </w:sdtPr>
        <w:sdtEndPr/>
        <w:sdtContent>
          <w:r w:rsidR="009E4F20">
            <w:fldChar w:fldCharType="begin"/>
          </w:r>
          <w:r w:rsidR="009E4F20">
            <w:instrText xml:space="preserve"> CITATION Rud14 \l 1033 </w:instrText>
          </w:r>
          <w:r w:rsidR="009E4F20">
            <w:fldChar w:fldCharType="separate"/>
          </w:r>
          <w:r w:rsidR="009E4F20">
            <w:rPr>
              <w:noProof/>
            </w:rPr>
            <w:t>(Rudnicki &amp; Vagner, 2014)</w:t>
          </w:r>
          <w:r w:rsidR="009E4F20">
            <w:fldChar w:fldCharType="end"/>
          </w:r>
        </w:sdtContent>
      </w:sdt>
      <w:r>
        <w:t xml:space="preserve">. Question marks identify high growth markets with low market share. Stars are products with high market values in high growth markets. Cash cows identify products with high market share but low growth markets. </w:t>
      </w:r>
      <w:r w:rsidR="00602B72">
        <w:t>The content does not provide information quantifiable as market share.</w:t>
      </w:r>
    </w:p>
    <w:p w:rsidR="000B2863" w:rsidRDefault="00BC060E" w:rsidP="005638FC">
      <w:pPr>
        <w:spacing w:after="0"/>
        <w:ind w:firstLine="720"/>
        <w:jc w:val="both"/>
      </w:pPr>
      <w:r>
        <w:t xml:space="preserve">Juices present themselves as stars. </w:t>
      </w:r>
      <w:r w:rsidR="00602B72">
        <w:t xml:space="preserve">Their production costs are high and they are highly perishable, but juices record instant feedback based on preferences. </w:t>
      </w:r>
      <w:r>
        <w:t xml:space="preserve">Home snacks are demonstrated as question marks. </w:t>
      </w:r>
      <w:r w:rsidR="00602B72">
        <w:t xml:space="preserve"> The snacks, though customer preferences put into consideration, the vying of these products is hard to determine.</w:t>
      </w:r>
      <w:r w:rsidR="00DB2B62">
        <w:t xml:space="preserve"> Their growth probability cannot b ascertained.</w:t>
      </w:r>
      <w:r w:rsidR="00602B72">
        <w:t xml:space="preserve"> </w:t>
      </w:r>
      <w:r>
        <w:t xml:space="preserve">Yoghurts and desserts are definitely cash cows. </w:t>
      </w:r>
      <w:r w:rsidR="00602B72">
        <w:t>Since they have farms to source for raw materials, and their demand is always high</w:t>
      </w:r>
      <w:r w:rsidR="00DB2B62">
        <w:t>, thus illustrating high chances of growth</w:t>
      </w:r>
      <w:r w:rsidR="00602B72">
        <w:t xml:space="preserve">. The same analysis is imposed on dairy products. </w:t>
      </w:r>
      <w:r w:rsidR="00122E51">
        <w:t>Culinary products present</w:t>
      </w:r>
      <w:r>
        <w:t xml:space="preserve"> themselves as dogs.</w:t>
      </w:r>
      <w:r w:rsidR="009E4F20">
        <w:t xml:space="preserve"> </w:t>
      </w:r>
      <w:r w:rsidR="00602B72">
        <w:t xml:space="preserve">Culinary products </w:t>
      </w:r>
      <w:r w:rsidR="00DB2B62">
        <w:t>are sold off at relatively low prices an indicate low probabilities of growth.</w:t>
      </w:r>
    </w:p>
    <w:p w:rsidR="000B2863" w:rsidRDefault="000B2863" w:rsidP="005638FC">
      <w:pPr>
        <w:spacing w:after="0"/>
        <w:jc w:val="both"/>
      </w:pPr>
      <w:r>
        <w:br w:type="page"/>
      </w:r>
    </w:p>
    <w:sdt>
      <w:sdtPr>
        <w:rPr>
          <w:rFonts w:ascii="Times New Roman" w:eastAsiaTheme="minorHAnsi" w:hAnsi="Times New Roman" w:cstheme="minorBidi"/>
          <w:b w:val="0"/>
          <w:bCs w:val="0"/>
          <w:color w:val="auto"/>
          <w:sz w:val="24"/>
          <w:szCs w:val="22"/>
          <w:lang w:eastAsia="en-US"/>
        </w:rPr>
        <w:id w:val="1671524080"/>
        <w:docPartObj>
          <w:docPartGallery w:val="Bibliographies"/>
          <w:docPartUnique/>
        </w:docPartObj>
      </w:sdtPr>
      <w:sdtEndPr/>
      <w:sdtContent>
        <w:p w:rsidR="000B2863" w:rsidRPr="000B2863" w:rsidRDefault="000B2863" w:rsidP="005638FC">
          <w:pPr>
            <w:pStyle w:val="Heading1"/>
            <w:spacing w:before="0" w:line="480" w:lineRule="auto"/>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EndPr/>
          <w:sdtContent>
            <w:p w:rsidR="000B2863" w:rsidRDefault="000B2863" w:rsidP="005638FC">
              <w:pPr>
                <w:pStyle w:val="Bibliography"/>
                <w:spacing w:after="0"/>
                <w:ind w:left="720" w:hanging="720"/>
                <w:rPr>
                  <w:noProof/>
                </w:rPr>
              </w:pPr>
              <w:r>
                <w:fldChar w:fldCharType="begin"/>
              </w:r>
              <w:r>
                <w:instrText xml:space="preserve"> BIBLIOGRAPHY </w:instrText>
              </w:r>
              <w:r>
                <w:fldChar w:fldCharType="separate"/>
              </w:r>
              <w:r>
                <w:rPr>
                  <w:noProof/>
                </w:rPr>
                <w:t xml:space="preserve">Dobbs, E. M. (2014). Guidelines for applying Porter's five forces framework: a set of industry analysis templates. </w:t>
              </w:r>
              <w:r>
                <w:rPr>
                  <w:i/>
                  <w:iCs/>
                  <w:noProof/>
                </w:rPr>
                <w:t>Competitiveness Review</w:t>
              </w:r>
              <w:r>
                <w:rPr>
                  <w:noProof/>
                </w:rPr>
                <w:t>, 32-45.</w:t>
              </w:r>
            </w:p>
            <w:p w:rsidR="000B2863" w:rsidRDefault="000B2863" w:rsidP="005638FC">
              <w:pPr>
                <w:pStyle w:val="Bibliography"/>
                <w:spacing w:after="0"/>
                <w:ind w:left="720" w:hanging="720"/>
                <w:rPr>
                  <w:noProof/>
                </w:rPr>
              </w:pPr>
              <w:r>
                <w:rPr>
                  <w:noProof/>
                </w:rPr>
                <w:t xml:space="preserve">E. Dobbs, M. (2014). Guidelines for applying Porter's five forces framework: a set of industry analysis templates. </w:t>
              </w:r>
              <w:r>
                <w:rPr>
                  <w:i/>
                  <w:iCs/>
                  <w:noProof/>
                </w:rPr>
                <w:t>Competitiveness Review</w:t>
              </w:r>
              <w:r>
                <w:rPr>
                  <w:noProof/>
                </w:rPr>
                <w:t>, 32-45.</w:t>
              </w:r>
            </w:p>
            <w:p w:rsidR="000B2863" w:rsidRDefault="000B2863" w:rsidP="005638FC">
              <w:pPr>
                <w:pStyle w:val="Bibliography"/>
                <w:spacing w:after="0"/>
                <w:ind w:left="720" w:hanging="720"/>
                <w:rPr>
                  <w:noProof/>
                </w:rPr>
              </w:pPr>
              <w:r>
                <w:rPr>
                  <w:noProof/>
                </w:rPr>
                <w:t xml:space="preserve">Rudnicki, W., &amp; Vagner, I. (2014). Methods of strategic analysis and proposal method of measuring productivity of a company. </w:t>
              </w:r>
              <w:r>
                <w:rPr>
                  <w:i/>
                  <w:iCs/>
                  <w:noProof/>
                </w:rPr>
                <w:t>Zeszyty Naukowe Małopolskiej Wyższej Szkoły Ekonomicznej w Tarnowie</w:t>
              </w:r>
              <w:r>
                <w:rPr>
                  <w:noProof/>
                </w:rPr>
                <w:t>, 175-184.</w:t>
              </w:r>
            </w:p>
            <w:p w:rsidR="000B2863" w:rsidRDefault="000B2863" w:rsidP="005638FC">
              <w:pPr>
                <w:spacing w:after="0"/>
              </w:pPr>
              <w:r>
                <w:rPr>
                  <w:b/>
                  <w:bCs/>
                  <w:noProof/>
                </w:rPr>
                <w:fldChar w:fldCharType="end"/>
              </w:r>
            </w:p>
          </w:sdtContent>
        </w:sdt>
      </w:sdtContent>
    </w:sdt>
    <w:p w:rsidR="008300AE" w:rsidRDefault="008300AE" w:rsidP="005638FC">
      <w:pPr>
        <w:spacing w:after="0"/>
        <w:ind w:firstLine="720"/>
      </w:pPr>
    </w:p>
    <w:sectPr w:rsidR="008300AE" w:rsidSect="000B286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42F8" w:rsidRDefault="001742F8" w:rsidP="000B2863">
      <w:pPr>
        <w:spacing w:after="0" w:line="240" w:lineRule="auto"/>
      </w:pPr>
      <w:r>
        <w:separator/>
      </w:r>
    </w:p>
  </w:endnote>
  <w:endnote w:type="continuationSeparator" w:id="0">
    <w:p w:rsidR="001742F8" w:rsidRDefault="001742F8" w:rsidP="000B28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863" w:rsidRDefault="000B286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863" w:rsidRDefault="000B2863">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863" w:rsidRDefault="000B286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42F8" w:rsidRDefault="001742F8" w:rsidP="000B2863">
      <w:pPr>
        <w:spacing w:after="0" w:line="240" w:lineRule="auto"/>
      </w:pPr>
      <w:r>
        <w:separator/>
      </w:r>
    </w:p>
  </w:footnote>
  <w:footnote w:type="continuationSeparator" w:id="0">
    <w:p w:rsidR="001742F8" w:rsidRDefault="001742F8" w:rsidP="000B28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863" w:rsidRDefault="000B286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863" w:rsidRDefault="000B2863">
    <w:pPr>
      <w:pStyle w:val="Header"/>
      <w:jc w:val="right"/>
    </w:pPr>
    <w:r>
      <w:t xml:space="preserve">MARKETING CONCEPTS </w:t>
    </w:r>
    <w:r>
      <w:tab/>
    </w:r>
    <w:r>
      <w:tab/>
    </w:r>
    <w:sdt>
      <w:sdtPr>
        <w:id w:val="20573498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523F7">
          <w:rPr>
            <w:noProof/>
          </w:rPr>
          <w:t>6</w:t>
        </w:r>
        <w:r>
          <w:rPr>
            <w:noProof/>
          </w:rPr>
          <w:fldChar w:fldCharType="end"/>
        </w:r>
      </w:sdtContent>
    </w:sdt>
  </w:p>
  <w:p w:rsidR="000B2863" w:rsidRDefault="000B286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863" w:rsidRDefault="000B2863">
    <w:pPr>
      <w:pStyle w:val="Header"/>
      <w:jc w:val="right"/>
    </w:pPr>
    <w:r>
      <w:t>Running Head: MARKETING CONCEPTS</w:t>
    </w:r>
    <w:r>
      <w:tab/>
    </w:r>
    <w:r>
      <w:tab/>
    </w:r>
    <w:sdt>
      <w:sdtPr>
        <w:id w:val="16845503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523F7">
          <w:rPr>
            <w:noProof/>
          </w:rPr>
          <w:t>1</w:t>
        </w:r>
        <w:r>
          <w:rPr>
            <w:noProof/>
          </w:rPr>
          <w:fldChar w:fldCharType="end"/>
        </w:r>
      </w:sdtContent>
    </w:sdt>
  </w:p>
  <w:p w:rsidR="000B2863" w:rsidRDefault="000B286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30309"/>
    <w:multiLevelType w:val="hybridMultilevel"/>
    <w:tmpl w:val="A95483B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0A8"/>
    <w:rsid w:val="000320A8"/>
    <w:rsid w:val="000B2863"/>
    <w:rsid w:val="00122E51"/>
    <w:rsid w:val="001742F8"/>
    <w:rsid w:val="00214C59"/>
    <w:rsid w:val="00291CAA"/>
    <w:rsid w:val="002F338F"/>
    <w:rsid w:val="003764BA"/>
    <w:rsid w:val="00417971"/>
    <w:rsid w:val="0045344A"/>
    <w:rsid w:val="00490146"/>
    <w:rsid w:val="005638FC"/>
    <w:rsid w:val="00602B72"/>
    <w:rsid w:val="006267C2"/>
    <w:rsid w:val="00630790"/>
    <w:rsid w:val="006E0948"/>
    <w:rsid w:val="007747D1"/>
    <w:rsid w:val="008300AE"/>
    <w:rsid w:val="00942A34"/>
    <w:rsid w:val="009E4F20"/>
    <w:rsid w:val="00A2245F"/>
    <w:rsid w:val="00AA715F"/>
    <w:rsid w:val="00BC060E"/>
    <w:rsid w:val="00C523F7"/>
    <w:rsid w:val="00DB2B62"/>
    <w:rsid w:val="00E171F9"/>
    <w:rsid w:val="00E77390"/>
    <w:rsid w:val="00FB1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D06B0"/>
  <w15:docId w15:val="{895BA538-8F63-46A4-8A48-3F9E44955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B2863"/>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00AE"/>
    <w:pPr>
      <w:ind w:left="720"/>
      <w:contextualSpacing/>
    </w:pPr>
  </w:style>
  <w:style w:type="paragraph" w:styleId="BalloonText">
    <w:name w:val="Balloon Text"/>
    <w:basedOn w:val="Normal"/>
    <w:link w:val="BalloonTextChar"/>
    <w:uiPriority w:val="99"/>
    <w:semiHidden/>
    <w:unhideWhenUsed/>
    <w:rsid w:val="009E4F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4F20"/>
    <w:rPr>
      <w:rFonts w:ascii="Tahoma" w:hAnsi="Tahoma" w:cs="Tahoma"/>
      <w:sz w:val="16"/>
      <w:szCs w:val="16"/>
    </w:rPr>
  </w:style>
  <w:style w:type="character" w:customStyle="1" w:styleId="Heading1Char">
    <w:name w:val="Heading 1 Char"/>
    <w:basedOn w:val="DefaultParagraphFont"/>
    <w:link w:val="Heading1"/>
    <w:uiPriority w:val="9"/>
    <w:rsid w:val="000B2863"/>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0B2863"/>
  </w:style>
  <w:style w:type="paragraph" w:styleId="Header">
    <w:name w:val="header"/>
    <w:basedOn w:val="Normal"/>
    <w:link w:val="HeaderChar"/>
    <w:uiPriority w:val="99"/>
    <w:unhideWhenUsed/>
    <w:rsid w:val="000B28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2863"/>
  </w:style>
  <w:style w:type="paragraph" w:styleId="Footer">
    <w:name w:val="footer"/>
    <w:basedOn w:val="Normal"/>
    <w:link w:val="FooterChar"/>
    <w:uiPriority w:val="99"/>
    <w:unhideWhenUsed/>
    <w:rsid w:val="000B28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28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Dob14</b:Tag>
    <b:SourceType>JournalArticle</b:SourceType>
    <b:Guid>{81E962E8-D4D7-4A1D-968B-B02AD0638939}</b:Guid>
    <b:Title>Guidelines for applying Porter's five forces framework: a set of industry analysis templates</b:Title>
    <b:Year>2014</b:Year>
    <b:JournalName>Competitiveness Review</b:JournalName>
    <b:Pages>32-45</b:Pages>
    <b:Author>
      <b:Author>
        <b:NameList>
          <b:Person>
            <b:Last>Dobbs</b:Last>
            <b:Middle>Micheal</b:Middle>
            <b:First>E.</b:First>
          </b:Person>
        </b:NameList>
      </b:Author>
    </b:Author>
    <b:RefOrder>1</b:RefOrder>
  </b:Source>
  <b:Source>
    <b:Tag>Rud14</b:Tag>
    <b:SourceType>JournalArticle</b:SourceType>
    <b:Guid>{8E2E0694-7EA8-4791-A54F-0627861CEE5B}</b:Guid>
    <b:Title>Methods of strategic analysis and proposal method of measuring productivity of a company</b:Title>
    <b:JournalName>Zeszyty Naukowe Małopolskiej Wyższej Szkoły Ekonomicznej w Tarnowie</b:JournalName>
    <b:Year>2014</b:Year>
    <b:Pages>175-184</b:Pages>
    <b:Author>
      <b:Author>
        <b:NameList>
          <b:Person>
            <b:Last>Rudnicki</b:Last>
            <b:First>Wasilij</b:First>
          </b:Person>
          <b:Person>
            <b:Last>Vagner</b:Last>
            <b:First>Irina</b:First>
          </b:Person>
        </b:NameList>
      </b:Author>
    </b:Author>
    <b:RefOrder>3</b:RefOrder>
  </b:Source>
  <b:Source>
    <b:Tag>EDo14</b:Tag>
    <b:SourceType>JournalArticle</b:SourceType>
    <b:Guid>{F3DA0E90-154A-40EF-AA92-5002E84DAAF4}</b:Guid>
    <b:Title>Guidelines for applying Porter's five forces framework: a set of industry analysis templates</b:Title>
    <b:JournalName>Competitiveness Review</b:JournalName>
    <b:Year>2014</b:Year>
    <b:Pages>32-45</b:Pages>
    <b:Author>
      <b:Author>
        <b:NameList>
          <b:Person>
            <b:Last>E. Dobbs</b:Last>
            <b:First>Micheal</b:First>
          </b:Person>
        </b:NameList>
      </b:Author>
    </b:Author>
    <b:RefOrder>2</b:RefOrder>
  </b:Source>
</b:Sources>
</file>

<file path=customXml/itemProps1.xml><?xml version="1.0" encoding="utf-8"?>
<ds:datastoreItem xmlns:ds="http://schemas.openxmlformats.org/officeDocument/2006/customXml" ds:itemID="{0A143937-A27B-4B4C-963A-BB0AC769B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1249</Words>
  <Characters>7125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2019-02-23T12:45:00Z</dcterms:created>
  <dcterms:modified xsi:type="dcterms:W3CDTF">2019-02-23T12:45:00Z</dcterms:modified>
</cp:coreProperties>
</file>